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0065" w:type="dxa"/>
        <w:tblInd w:w="-572" w:type="dxa"/>
        <w:tblLook w:val="04A0" w:firstRow="1" w:lastRow="0" w:firstColumn="1" w:lastColumn="0" w:noHBand="0" w:noVBand="1"/>
      </w:tblPr>
      <w:tblGrid>
        <w:gridCol w:w="1560"/>
        <w:gridCol w:w="8505"/>
      </w:tblGrid>
      <w:tr w:rsidR="0046607B" w14:paraId="37C6A203" w14:textId="77777777" w:rsidTr="2A1628DD">
        <w:tc>
          <w:tcPr>
            <w:tcW w:w="1560" w:type="dxa"/>
            <w:vAlign w:val="center"/>
          </w:tcPr>
          <w:p w14:paraId="0D5A35A8" w14:textId="2527F36E" w:rsidR="0046607B" w:rsidRPr="009404C2" w:rsidRDefault="598BD971" w:rsidP="009404C2">
            <w:pPr>
              <w:jc w:val="center"/>
              <w:rPr>
                <w:b/>
                <w:bCs/>
              </w:rPr>
            </w:pPr>
            <w:bookmarkStart w:id="0" w:name="_Hlk164940051"/>
            <w:r w:rsidRPr="598BD971">
              <w:rPr>
                <w:b/>
                <w:bCs/>
              </w:rPr>
              <w:t>Axe 4</w:t>
            </w:r>
          </w:p>
        </w:tc>
        <w:tc>
          <w:tcPr>
            <w:tcW w:w="8505" w:type="dxa"/>
          </w:tcPr>
          <w:p w14:paraId="58C92614" w14:textId="0D26FA1D" w:rsidR="0046607B" w:rsidRPr="007C64C4" w:rsidRDefault="00F9270A" w:rsidP="007C64C4">
            <w:pPr>
              <w:autoSpaceDE w:val="0"/>
              <w:autoSpaceDN w:val="0"/>
              <w:adjustRightInd w:val="0"/>
              <w:jc w:val="center"/>
              <w:rPr>
                <w:rFonts w:ascii="CIDFont+F3" w:hAnsi="CIDFont+F3" w:cs="CIDFont+F3"/>
                <w:b/>
                <w:bCs/>
                <w:kern w:val="0"/>
                <w:sz w:val="24"/>
                <w:szCs w:val="24"/>
              </w:rPr>
            </w:pPr>
            <w:r w:rsidRPr="007C64C4">
              <w:rPr>
                <w:rFonts w:ascii="CIDFont+F3" w:hAnsi="CIDFont+F3" w:cs="CIDFont+F3"/>
                <w:b/>
                <w:bCs/>
                <w:kern w:val="0"/>
                <w:sz w:val="24"/>
                <w:szCs w:val="24"/>
              </w:rPr>
              <w:t>Préservation du bon état de santé des abeilles et autres pollinisateurs</w:t>
            </w:r>
          </w:p>
        </w:tc>
      </w:tr>
      <w:tr w:rsidR="0046607B" w14:paraId="3E974957" w14:textId="77777777" w:rsidTr="2A1628DD">
        <w:trPr>
          <w:trHeight w:val="660"/>
        </w:trPr>
        <w:tc>
          <w:tcPr>
            <w:tcW w:w="1560" w:type="dxa"/>
            <w:vAlign w:val="center"/>
          </w:tcPr>
          <w:p w14:paraId="5A421146" w14:textId="0963A515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Action</w:t>
            </w:r>
            <w:r w:rsidR="00B019D6">
              <w:rPr>
                <w:b/>
                <w:bCs/>
              </w:rPr>
              <w:t xml:space="preserve"> </w:t>
            </w:r>
            <w:r w:rsidR="00811561">
              <w:rPr>
                <w:b/>
                <w:bCs/>
              </w:rPr>
              <w:t>3</w:t>
            </w:r>
          </w:p>
        </w:tc>
        <w:tc>
          <w:tcPr>
            <w:tcW w:w="8505" w:type="dxa"/>
            <w:vAlign w:val="center"/>
          </w:tcPr>
          <w:p w14:paraId="3E7A2F11" w14:textId="5D532B36" w:rsidR="00811561" w:rsidRPr="00657D0A" w:rsidRDefault="00811561" w:rsidP="00967B72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 w:rsidRPr="00657D0A">
              <w:rPr>
                <w:b/>
                <w:bCs/>
                <w:sz w:val="23"/>
                <w:szCs w:val="23"/>
              </w:rPr>
              <w:t>Améliorer la surveillance de l’état de santé des abeilles et autres pollinisateurs</w:t>
            </w:r>
          </w:p>
          <w:p w14:paraId="339D8F82" w14:textId="1F5D4869" w:rsidR="0046607B" w:rsidRPr="006F2CE2" w:rsidRDefault="007C64C4" w:rsidP="00967B7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ADA GE </w:t>
            </w:r>
            <w:r w:rsidR="00D10ABD">
              <w:rPr>
                <w:sz w:val="23"/>
                <w:szCs w:val="23"/>
              </w:rPr>
              <w:t xml:space="preserve">et GDS </w:t>
            </w:r>
            <w:r>
              <w:rPr>
                <w:sz w:val="23"/>
                <w:szCs w:val="23"/>
              </w:rPr>
              <w:t>-</w:t>
            </w:r>
          </w:p>
        </w:tc>
      </w:tr>
      <w:tr w:rsidR="0046607B" w14:paraId="29833F62" w14:textId="77777777" w:rsidTr="2A1628DD">
        <w:trPr>
          <w:trHeight w:val="556"/>
        </w:trPr>
        <w:tc>
          <w:tcPr>
            <w:tcW w:w="1560" w:type="dxa"/>
            <w:vAlign w:val="center"/>
          </w:tcPr>
          <w:p w14:paraId="4CE563A6" w14:textId="77777777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Priorité</w:t>
            </w:r>
          </w:p>
        </w:tc>
        <w:tc>
          <w:tcPr>
            <w:tcW w:w="8505" w:type="dxa"/>
            <w:vAlign w:val="center"/>
          </w:tcPr>
          <w:p w14:paraId="172CB75E" w14:textId="78B9843F" w:rsidR="0046607B" w:rsidRDefault="00C7254E" w:rsidP="00C7254E">
            <w:r>
              <w:t>1</w:t>
            </w:r>
          </w:p>
        </w:tc>
      </w:tr>
      <w:tr w:rsidR="0046607B" w14:paraId="2D98E5EA" w14:textId="77777777" w:rsidTr="2A1628DD">
        <w:trPr>
          <w:trHeight w:val="1972"/>
        </w:trPr>
        <w:tc>
          <w:tcPr>
            <w:tcW w:w="1560" w:type="dxa"/>
            <w:vAlign w:val="center"/>
          </w:tcPr>
          <w:p w14:paraId="6920D17E" w14:textId="77777777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Objectifs</w:t>
            </w:r>
          </w:p>
        </w:tc>
        <w:tc>
          <w:tcPr>
            <w:tcW w:w="8505" w:type="dxa"/>
            <w:vAlign w:val="center"/>
          </w:tcPr>
          <w:p w14:paraId="5F292BF2" w14:textId="7B8BE7AB" w:rsidR="00B113C4" w:rsidRDefault="760F63C9" w:rsidP="00C7254E">
            <w:pPr>
              <w:pStyle w:val="Paragraphedeliste"/>
              <w:numPr>
                <w:ilvl w:val="0"/>
                <w:numId w:val="15"/>
              </w:numPr>
              <w:jc w:val="both"/>
            </w:pPr>
            <w:r>
              <w:t>Recenser et rendre accessibles les enquêtes existantes à tous les apiculteurs.</w:t>
            </w:r>
          </w:p>
          <w:p w14:paraId="4E40CB5F" w14:textId="76E0FD27" w:rsidR="007C64C4" w:rsidRDefault="00811561" w:rsidP="00C7254E">
            <w:pPr>
              <w:pStyle w:val="Paragraphedeliste"/>
              <w:numPr>
                <w:ilvl w:val="0"/>
                <w:numId w:val="16"/>
              </w:numPr>
              <w:jc w:val="both"/>
            </w:pPr>
            <w:r>
              <w:t xml:space="preserve">Analyser les données recueillies </w:t>
            </w:r>
            <w:r w:rsidR="007C64C4">
              <w:t xml:space="preserve">des enquêtes </w:t>
            </w:r>
            <w:r>
              <w:t>pour en tirer des conclusions</w:t>
            </w:r>
            <w:r w:rsidR="00657D0A">
              <w:t>.</w:t>
            </w:r>
            <w:r>
              <w:t xml:space="preserve"> </w:t>
            </w:r>
          </w:p>
          <w:p w14:paraId="6F0F8121" w14:textId="0F597B6F" w:rsidR="00811561" w:rsidRDefault="007C64C4" w:rsidP="00C7254E">
            <w:pPr>
              <w:pStyle w:val="Paragraphedeliste"/>
              <w:numPr>
                <w:ilvl w:val="0"/>
                <w:numId w:val="16"/>
              </w:numPr>
              <w:jc w:val="both"/>
            </w:pPr>
            <w:r>
              <w:t>F</w:t>
            </w:r>
            <w:r w:rsidR="00811561">
              <w:t>aire un suivi pluriannuel de l’évolution des pathogènes</w:t>
            </w:r>
            <w:r>
              <w:t xml:space="preserve"> en </w:t>
            </w:r>
            <w:r w:rsidR="00657D0A">
              <w:t>incluant d’autres agresseurs.</w:t>
            </w:r>
          </w:p>
          <w:p w14:paraId="26CEA0BC" w14:textId="1B2DD2E9" w:rsidR="00811561" w:rsidRDefault="760F63C9" w:rsidP="00C7254E">
            <w:pPr>
              <w:pStyle w:val="Paragraphedeliste"/>
              <w:numPr>
                <w:ilvl w:val="0"/>
                <w:numId w:val="16"/>
              </w:numPr>
              <w:jc w:val="both"/>
            </w:pPr>
            <w:r>
              <w:t>Faire un recensement des études existantes sur les virus et pathogènes et leur impact sur les ruches.</w:t>
            </w:r>
          </w:p>
          <w:p w14:paraId="5FF908C3" w14:textId="6113A7B7" w:rsidR="00D277C3" w:rsidRDefault="760F63C9" w:rsidP="00C7254E">
            <w:pPr>
              <w:pStyle w:val="Paragraphedeliste"/>
              <w:numPr>
                <w:ilvl w:val="0"/>
                <w:numId w:val="16"/>
              </w:numPr>
              <w:jc w:val="both"/>
            </w:pPr>
            <w:r>
              <w:t xml:space="preserve">Partager les analyses de données de manière accessible et gratuite via des newsletters GDS ou ADA Grand Est via son site internet et </w:t>
            </w:r>
            <w:proofErr w:type="spellStart"/>
            <w:r>
              <w:t>Flash’Abeille</w:t>
            </w:r>
            <w:proofErr w:type="spellEnd"/>
            <w:r>
              <w:t>.</w:t>
            </w:r>
          </w:p>
          <w:p w14:paraId="60DA310F" w14:textId="7B6664AA" w:rsidR="00D277C3" w:rsidRDefault="760F63C9" w:rsidP="00C7254E">
            <w:pPr>
              <w:pStyle w:val="Paragraphedeliste"/>
              <w:numPr>
                <w:ilvl w:val="0"/>
                <w:numId w:val="16"/>
              </w:numPr>
              <w:jc w:val="both"/>
            </w:pPr>
            <w:r>
              <w:t>Travailler avec les groupes de travail nationaux et les acteurs régionaux : GTV, RBA, ADA GE, INRAE au recensement des informations existantes sur les pathogènes et virus.</w:t>
            </w:r>
          </w:p>
        </w:tc>
      </w:tr>
      <w:tr w:rsidR="0046607B" w14:paraId="6493FA08" w14:textId="77777777" w:rsidTr="2A1628DD">
        <w:trPr>
          <w:trHeight w:val="1012"/>
        </w:trPr>
        <w:tc>
          <w:tcPr>
            <w:tcW w:w="1560" w:type="dxa"/>
            <w:vAlign w:val="center"/>
          </w:tcPr>
          <w:p w14:paraId="5DB91733" w14:textId="77777777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Calendrier</w:t>
            </w:r>
          </w:p>
        </w:tc>
        <w:tc>
          <w:tcPr>
            <w:tcW w:w="8505" w:type="dxa"/>
            <w:vAlign w:val="center"/>
          </w:tcPr>
          <w:p w14:paraId="20BBED86" w14:textId="5484A14D" w:rsidR="00811561" w:rsidRDefault="00BD0162" w:rsidP="00C7254E">
            <w:r>
              <w:t>En cours</w:t>
            </w:r>
          </w:p>
        </w:tc>
      </w:tr>
      <w:tr w:rsidR="0046607B" w14:paraId="0FE7E4B4" w14:textId="77777777" w:rsidTr="2A1628DD">
        <w:tc>
          <w:tcPr>
            <w:tcW w:w="1560" w:type="dxa"/>
            <w:vAlign w:val="center"/>
          </w:tcPr>
          <w:p w14:paraId="1BEBE245" w14:textId="77777777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Contexte</w:t>
            </w:r>
          </w:p>
        </w:tc>
        <w:tc>
          <w:tcPr>
            <w:tcW w:w="8505" w:type="dxa"/>
            <w:vAlign w:val="center"/>
          </w:tcPr>
          <w:p w14:paraId="75302EFC" w14:textId="5F8D0ACE" w:rsidR="005B70B4" w:rsidRDefault="0047711B" w:rsidP="00C7254E">
            <w:pPr>
              <w:jc w:val="both"/>
            </w:pPr>
            <w:r>
              <w:t>L’Observatoire des Mortalités et des Affaiblissements de l’Abeille mellifère (OMAA)</w:t>
            </w:r>
            <w:r w:rsidR="00673DE6">
              <w:t xml:space="preserve"> est un dispositif visant à simplifier</w:t>
            </w:r>
            <w:r w:rsidR="00671438">
              <w:t>,</w:t>
            </w:r>
            <w:r w:rsidR="00673DE6">
              <w:t xml:space="preserve"> standardiser </w:t>
            </w:r>
            <w:r w:rsidR="00671438">
              <w:t xml:space="preserve">et centraliser </w:t>
            </w:r>
            <w:r w:rsidR="00673DE6">
              <w:t xml:space="preserve">la procédure </w:t>
            </w:r>
            <w:r w:rsidR="00CA3BBE">
              <w:t>de déclaration</w:t>
            </w:r>
            <w:r w:rsidR="00B21EB2">
              <w:t xml:space="preserve"> des </w:t>
            </w:r>
            <w:r w:rsidR="00183201">
              <w:t xml:space="preserve">événements </w:t>
            </w:r>
            <w:r w:rsidR="00B21EB2">
              <w:t>de santé des abeilles observés dans les ruchers</w:t>
            </w:r>
            <w:r w:rsidR="00671438">
              <w:t>, notamment à travers un numéro</w:t>
            </w:r>
            <w:r w:rsidR="00564663">
              <w:t xml:space="preserve"> téléphonique unique</w:t>
            </w:r>
            <w:r w:rsidR="00B21EB2">
              <w:t xml:space="preserve">. Ce dernier </w:t>
            </w:r>
            <w:r w:rsidR="2A1628DD" w:rsidRPr="00EE6ED9">
              <w:t>n'est pas encore présent dans la région Grand Est.</w:t>
            </w:r>
            <w:r w:rsidR="00B21EB2">
              <w:t xml:space="preserve"> Il </w:t>
            </w:r>
            <w:r w:rsidR="2A1628DD" w:rsidRPr="00EE6ED9">
              <w:t xml:space="preserve">a </w:t>
            </w:r>
            <w:r w:rsidR="00B21EB2">
              <w:t xml:space="preserve">seulement </w:t>
            </w:r>
            <w:r w:rsidR="2A1628DD" w:rsidRPr="00EE6ED9">
              <w:t xml:space="preserve">été déployé dans </w:t>
            </w:r>
            <w:r w:rsidR="00183201">
              <w:t xml:space="preserve">quelques </w:t>
            </w:r>
            <w:r w:rsidR="2A1628DD" w:rsidRPr="00EE6ED9">
              <w:t>régions françaises, notamment en Bretagne, Pays de la Loire et Auvergne-Rhône-Alpes, où il a permis de recenser et d'analyser les troubles de santé des abeilles.</w:t>
            </w:r>
            <w:r w:rsidR="2A1628DD">
              <w:t> </w:t>
            </w:r>
          </w:p>
          <w:p w14:paraId="685FDA39" w14:textId="77777777" w:rsidR="005B70B4" w:rsidRDefault="005B70B4" w:rsidP="00C7254E">
            <w:pPr>
              <w:jc w:val="both"/>
            </w:pPr>
          </w:p>
          <w:p w14:paraId="10356D2E" w14:textId="3C4CC34E" w:rsidR="001204EC" w:rsidRDefault="00927178" w:rsidP="00C7254E">
            <w:pPr>
              <w:jc w:val="both"/>
            </w:pPr>
            <w:r>
              <w:t>En</w:t>
            </w:r>
            <w:r w:rsidR="2A1628DD">
              <w:t xml:space="preserve"> Région Grand Est</w:t>
            </w:r>
            <w:r>
              <w:t>,</w:t>
            </w:r>
            <w:r w:rsidR="2A1628DD">
              <w:t xml:space="preserve"> </w:t>
            </w:r>
            <w:r>
              <w:t xml:space="preserve">les actions concernant OMAA </w:t>
            </w:r>
            <w:r w:rsidR="2A1628DD">
              <w:t xml:space="preserve">ne </w:t>
            </w:r>
            <w:r>
              <w:t xml:space="preserve">seront pas </w:t>
            </w:r>
            <w:r w:rsidR="2A1628DD">
              <w:t>déclin</w:t>
            </w:r>
            <w:r>
              <w:t>ées</w:t>
            </w:r>
            <w:r w:rsidR="2A1628DD">
              <w:t xml:space="preserve"> mais </w:t>
            </w:r>
            <w:r>
              <w:t>un travail sera fait</w:t>
            </w:r>
            <w:r w:rsidR="2A1628DD">
              <w:t xml:space="preserve"> </w:t>
            </w:r>
            <w:r w:rsidR="002012E8">
              <w:t>pour</w:t>
            </w:r>
            <w:r w:rsidR="2A1628DD">
              <w:t xml:space="preserve"> une meilleure diffusion des enquêtes existantes et leurs analyses</w:t>
            </w:r>
            <w:r w:rsidR="00387033">
              <w:t xml:space="preserve">. </w:t>
            </w:r>
            <w:r w:rsidR="00B076BA">
              <w:t>La Région Grand Est</w:t>
            </w:r>
            <w:r w:rsidR="2A1628DD">
              <w:t xml:space="preserve"> travaillera avec tous les acteurs concernés </w:t>
            </w:r>
            <w:r w:rsidR="007D71BB">
              <w:t>sur</w:t>
            </w:r>
            <w:r w:rsidR="2A1628DD">
              <w:t xml:space="preserve"> la surveillance de nouvelles maladies et </w:t>
            </w:r>
            <w:r w:rsidR="007D71BB">
              <w:t xml:space="preserve">pour </w:t>
            </w:r>
            <w:r w:rsidR="2A1628DD">
              <w:t>le recensement des connaissances existantes sur les pathogènes présents dans les ruches ou dans les populations de pollinisateurs sauvages.</w:t>
            </w:r>
          </w:p>
          <w:p w14:paraId="43FE516B" w14:textId="77777777" w:rsidR="00642323" w:rsidRDefault="00642323" w:rsidP="00C7254E">
            <w:pPr>
              <w:jc w:val="both"/>
            </w:pPr>
          </w:p>
          <w:p w14:paraId="435430FB" w14:textId="627026EA" w:rsidR="00642323" w:rsidRDefault="00642323" w:rsidP="00C7254E">
            <w:pPr>
              <w:jc w:val="both"/>
            </w:pPr>
            <w:r w:rsidRPr="00385EE0">
              <w:t xml:space="preserve">En parallèle, le suivi des études concernant les </w:t>
            </w:r>
            <w:r w:rsidR="00E300A2" w:rsidRPr="00385EE0">
              <w:t xml:space="preserve">différents </w:t>
            </w:r>
            <w:r w:rsidRPr="00385EE0">
              <w:t xml:space="preserve">pathogènes et virus de l’abeille serait intéressant pour nourrir les réflexions en Grand Est. </w:t>
            </w:r>
            <w:r w:rsidR="00B076BA">
              <w:t>Il est important de c</w:t>
            </w:r>
            <w:r w:rsidRPr="00385EE0">
              <w:t>ontinuer à former les apiculteurs afin de renforcer la surveillance sanitaire et améliorer la gestion des maladies émergentes. Cependant ces modalités devront être développée</w:t>
            </w:r>
            <w:r w:rsidR="00AB5DAC" w:rsidRPr="00385EE0">
              <w:t>s</w:t>
            </w:r>
            <w:r w:rsidRPr="00385EE0">
              <w:t xml:space="preserve"> au niveau national avant de pouvoir être décliné</w:t>
            </w:r>
            <w:r w:rsidR="00AB5DAC" w:rsidRPr="00385EE0">
              <w:t>es</w:t>
            </w:r>
            <w:r w:rsidRPr="00385EE0">
              <w:t xml:space="preserve"> en Grand Est.</w:t>
            </w:r>
          </w:p>
        </w:tc>
      </w:tr>
      <w:tr w:rsidR="0046607B" w14:paraId="2C672376" w14:textId="77777777" w:rsidTr="2A1628DD">
        <w:tc>
          <w:tcPr>
            <w:tcW w:w="1560" w:type="dxa"/>
            <w:vAlign w:val="center"/>
          </w:tcPr>
          <w:p w14:paraId="4E3D86DC" w14:textId="77777777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Description</w:t>
            </w:r>
          </w:p>
        </w:tc>
        <w:tc>
          <w:tcPr>
            <w:tcW w:w="8505" w:type="dxa"/>
            <w:vAlign w:val="center"/>
          </w:tcPr>
          <w:p w14:paraId="1D3B4F95" w14:textId="77777777" w:rsidR="00F437E5" w:rsidRDefault="001204EC" w:rsidP="00C7254E">
            <w:pPr>
              <w:pStyle w:val="Paragraphedeliste"/>
              <w:widowControl w:val="0"/>
              <w:numPr>
                <w:ilvl w:val="0"/>
                <w:numId w:val="14"/>
              </w:numPr>
              <w:spacing w:before="80"/>
              <w:rPr>
                <w:b/>
                <w:bCs/>
              </w:rPr>
            </w:pPr>
            <w:r w:rsidRPr="00F437E5">
              <w:rPr>
                <w:b/>
                <w:bCs/>
              </w:rPr>
              <w:t>Promouvoir</w:t>
            </w:r>
            <w:r w:rsidR="00635D4B" w:rsidRPr="00F437E5">
              <w:rPr>
                <w:b/>
                <w:bCs/>
              </w:rPr>
              <w:t xml:space="preserve"> les enquêtes existantes alimentant les connaissances sur les questions sanitaires </w:t>
            </w:r>
            <w:r w:rsidR="00222308" w:rsidRPr="00F437E5">
              <w:rPr>
                <w:b/>
                <w:bCs/>
              </w:rPr>
              <w:t>apicoles :</w:t>
            </w:r>
          </w:p>
          <w:p w14:paraId="08418607" w14:textId="77777777" w:rsidR="00531596" w:rsidRPr="00531596" w:rsidRDefault="001204EC" w:rsidP="00C7254E">
            <w:pPr>
              <w:pStyle w:val="Paragraphedeliste"/>
              <w:widowControl w:val="0"/>
              <w:numPr>
                <w:ilvl w:val="1"/>
                <w:numId w:val="14"/>
              </w:numPr>
              <w:spacing w:before="80"/>
              <w:jc w:val="both"/>
              <w:rPr>
                <w:b/>
                <w:bCs/>
              </w:rPr>
            </w:pPr>
            <w:r w:rsidRPr="0083613E">
              <w:t>L’Enquête Nationale de Mortalité Hivernale des colonies d’Abeilles (ENMHA</w:t>
            </w:r>
            <w:r w:rsidR="0083613E">
              <w:t xml:space="preserve">) </w:t>
            </w:r>
            <w:r w:rsidRPr="001204EC">
              <w:t>est menée par l’ANSES, dans le cadre de la Plateforme nationale d’</w:t>
            </w:r>
            <w:proofErr w:type="spellStart"/>
            <w:r w:rsidRPr="001204EC">
              <w:t>Épidémio</w:t>
            </w:r>
            <w:proofErr w:type="spellEnd"/>
            <w:r w:rsidRPr="001204EC">
              <w:t>-Surveillance en santé Animale (Plateforme ESA).</w:t>
            </w:r>
            <w:r>
              <w:t xml:space="preserve"> L’objectif serait donc de promouvoir davantage </w:t>
            </w:r>
            <w:r w:rsidR="00531596">
              <w:t>cette enquête</w:t>
            </w:r>
            <w:r>
              <w:t xml:space="preserve"> auprès des apiculteurs en leur rappelant que ces données sont utiles pour identifier et suivre les facteurs de mortalité spécifique à la Région Grand Est.</w:t>
            </w:r>
          </w:p>
          <w:p w14:paraId="0599EFE3" w14:textId="217B641A" w:rsidR="004B165C" w:rsidRPr="004B165C" w:rsidRDefault="760F63C9" w:rsidP="00C7254E">
            <w:pPr>
              <w:pStyle w:val="Paragraphedeliste"/>
              <w:widowControl w:val="0"/>
              <w:numPr>
                <w:ilvl w:val="1"/>
                <w:numId w:val="14"/>
              </w:numPr>
              <w:spacing w:before="80"/>
              <w:jc w:val="both"/>
              <w:rPr>
                <w:b/>
                <w:bCs/>
              </w:rPr>
            </w:pPr>
            <w:hyperlink r:id="rId7">
              <w:r w:rsidRPr="760F63C9">
                <w:rPr>
                  <w:rStyle w:val="Lienhypertexte"/>
                  <w:color w:val="auto"/>
                  <w:u w:val="none"/>
                </w:rPr>
                <w:t>L’Observatoire de la production de miel et gelée royale </w:t>
              </w:r>
            </w:hyperlink>
            <w:r>
              <w:t xml:space="preserve">: chaque année, </w:t>
            </w:r>
            <w:proofErr w:type="spellStart"/>
            <w:r>
              <w:t>FranceAgrimer</w:t>
            </w:r>
            <w:proofErr w:type="spellEnd"/>
            <w:r>
              <w:t xml:space="preserve"> publie les données de son Observatoire de la production de miel et gelée royale, sur l’année précédente, en France. Cette enquête permet de comparer ses résultats à ceux au niveau national (indicateur de performance).</w:t>
            </w:r>
          </w:p>
          <w:p w14:paraId="799B5536" w14:textId="4EDE171D" w:rsidR="004B165C" w:rsidRPr="00EE0C43" w:rsidRDefault="00635D4B" w:rsidP="00C7254E">
            <w:pPr>
              <w:pStyle w:val="Paragraphedeliste"/>
              <w:widowControl w:val="0"/>
              <w:numPr>
                <w:ilvl w:val="1"/>
                <w:numId w:val="14"/>
              </w:numPr>
              <w:spacing w:before="80"/>
              <w:jc w:val="both"/>
              <w:rPr>
                <w:b/>
                <w:bCs/>
              </w:rPr>
            </w:pPr>
            <w:hyperlink r:id="rId8" w:history="1">
              <w:r w:rsidRPr="004B165C">
                <w:rPr>
                  <w:rStyle w:val="Lienhypertexte"/>
                  <w:color w:val="auto"/>
                  <w:u w:val="none"/>
                </w:rPr>
                <w:t>Déclaration annuelle des ruches</w:t>
              </w:r>
            </w:hyperlink>
            <w:r w:rsidR="004B165C" w:rsidRPr="004B165C">
              <w:rPr>
                <w:rStyle w:val="Lienhypertexte"/>
                <w:color w:val="auto"/>
                <w:u w:val="none"/>
              </w:rPr>
              <w:t xml:space="preserve"> </w:t>
            </w:r>
            <w:r w:rsidRPr="004B165C">
              <w:t xml:space="preserve">: </w:t>
            </w:r>
            <w:r w:rsidR="00561846">
              <w:t>c’</w:t>
            </w:r>
            <w:r w:rsidRPr="00635D4B">
              <w:t xml:space="preserve">est une obligation légale pour tous les </w:t>
            </w:r>
            <w:r w:rsidRPr="00635D4B">
              <w:lastRenderedPageBreak/>
              <w:t xml:space="preserve">apiculteurs, qu'ils soient professionnels ou amateurs, et ce dès la première ruche détenue. </w:t>
            </w:r>
            <w:r w:rsidR="00561846">
              <w:t>Elle permet en cas d’épidémie d’informer les apiculteurs</w:t>
            </w:r>
            <w:r w:rsidR="00626852">
              <w:t xml:space="preserve"> et les autorités sanitaires.</w:t>
            </w:r>
          </w:p>
          <w:p w14:paraId="10C931EF" w14:textId="2962F9E0" w:rsidR="00635D4B" w:rsidRPr="00626852" w:rsidRDefault="001E2847" w:rsidP="00C7254E">
            <w:pPr>
              <w:pStyle w:val="Paragraphedeliste"/>
              <w:widowControl w:val="0"/>
              <w:numPr>
                <w:ilvl w:val="0"/>
                <w:numId w:val="14"/>
              </w:numPr>
              <w:spacing w:before="80"/>
              <w:jc w:val="both"/>
              <w:rPr>
                <w:b/>
                <w:bCs/>
              </w:rPr>
            </w:pPr>
            <w:r w:rsidRPr="00626852">
              <w:rPr>
                <w:b/>
                <w:bCs/>
              </w:rPr>
              <w:t xml:space="preserve">La circulation des pathogènes et virus : une problématique </w:t>
            </w:r>
            <w:r w:rsidR="00626852">
              <w:rPr>
                <w:b/>
                <w:bCs/>
              </w:rPr>
              <w:t>à</w:t>
            </w:r>
            <w:r w:rsidRPr="00626852">
              <w:rPr>
                <w:b/>
                <w:bCs/>
              </w:rPr>
              <w:t xml:space="preserve"> étudi</w:t>
            </w:r>
            <w:r w:rsidR="00626852">
              <w:rPr>
                <w:b/>
                <w:bCs/>
              </w:rPr>
              <w:t>er</w:t>
            </w:r>
            <w:r w:rsidRPr="00626852">
              <w:rPr>
                <w:b/>
                <w:bCs/>
              </w:rPr>
              <w:t xml:space="preserve"> davantage ?</w:t>
            </w:r>
          </w:p>
          <w:p w14:paraId="5472F102" w14:textId="42713DA1" w:rsidR="001E2847" w:rsidRDefault="760F63C9" w:rsidP="00C7254E">
            <w:pPr>
              <w:pStyle w:val="Paragraphedeliste"/>
              <w:widowControl w:val="0"/>
              <w:numPr>
                <w:ilvl w:val="1"/>
                <w:numId w:val="14"/>
              </w:numPr>
              <w:spacing w:before="80"/>
              <w:jc w:val="both"/>
            </w:pPr>
            <w:r w:rsidRPr="760F63C9">
              <w:rPr>
                <w:b/>
                <w:bCs/>
              </w:rPr>
              <w:t>Diversité et propagation des agents pathogènes</w:t>
            </w:r>
            <w:r>
              <w:t xml:space="preserve"> : les abeilles sont sensibles à de nombreux agents pathogènes, incluant des bactéries, des virus et des parasites.</w:t>
            </w:r>
          </w:p>
          <w:p w14:paraId="2B3781E8" w14:textId="5EDD9E36" w:rsidR="00C7254E" w:rsidRDefault="760F63C9" w:rsidP="00C7254E">
            <w:pPr>
              <w:pStyle w:val="Paragraphedeliste"/>
              <w:widowControl w:val="0"/>
              <w:numPr>
                <w:ilvl w:val="1"/>
                <w:numId w:val="14"/>
              </w:numPr>
              <w:spacing w:before="80"/>
              <w:jc w:val="both"/>
            </w:pPr>
            <w:r w:rsidRPr="760F63C9">
              <w:rPr>
                <w:b/>
                <w:bCs/>
              </w:rPr>
              <w:t>Modes de transmission complexes</w:t>
            </w:r>
            <w:r>
              <w:t xml:space="preserve"> : les pathogènes se propagent de diverses manières, notamment par contact direct entre abeilles, par l'intermédiaire de la nourriture contaminée, ou via des vecteurs comme l'acarien Varroa </w:t>
            </w:r>
            <w:proofErr w:type="spellStart"/>
            <w:r>
              <w:t>destructor</w:t>
            </w:r>
            <w:proofErr w:type="spellEnd"/>
            <w:r>
              <w:t>. La compréhension de ces modes de transmission est cruciale pour contrôler la propagation des maladies.</w:t>
            </w:r>
          </w:p>
          <w:p w14:paraId="6752E298" w14:textId="6EADDE92" w:rsidR="00C7254E" w:rsidRDefault="760F63C9" w:rsidP="00C7254E">
            <w:pPr>
              <w:pStyle w:val="Paragraphedeliste"/>
              <w:widowControl w:val="0"/>
              <w:numPr>
                <w:ilvl w:val="1"/>
                <w:numId w:val="14"/>
              </w:numPr>
              <w:spacing w:before="80"/>
              <w:jc w:val="both"/>
            </w:pPr>
            <w:hyperlink r:id="rId9">
              <w:r w:rsidRPr="760F63C9">
                <w:rPr>
                  <w:rStyle w:val="Lienhypertexte"/>
                  <w:b/>
                  <w:bCs/>
                  <w:color w:val="auto"/>
                  <w:u w:val="none"/>
                </w:rPr>
                <w:t>Interactions entre pathogènes et environnement :</w:t>
              </w:r>
            </w:hyperlink>
            <w:r>
              <w:t xml:space="preserve"> les interactions entre les virus, les pesticides et d'autres facteurs environnementaux peuvent jouer un rôle important dans le déclin des populations d'abeilles.</w:t>
            </w:r>
          </w:p>
          <w:p w14:paraId="338D45A9" w14:textId="564BA279" w:rsidR="001E2847" w:rsidRDefault="760F63C9" w:rsidP="00C7254E">
            <w:pPr>
              <w:pStyle w:val="Paragraphedeliste"/>
              <w:widowControl w:val="0"/>
              <w:numPr>
                <w:ilvl w:val="1"/>
                <w:numId w:val="14"/>
              </w:numPr>
              <w:spacing w:before="80"/>
              <w:jc w:val="both"/>
            </w:pPr>
            <w:r w:rsidRPr="760F63C9">
              <w:rPr>
                <w:b/>
                <w:bCs/>
              </w:rPr>
              <w:t>Impact sur les pollinisateurs sauvages</w:t>
            </w:r>
            <w:r>
              <w:t xml:space="preserve"> : la transmission de pathogènes entre l'abeille domestique et d'autres pollinisateurs comme les bourdons et les osmies a été observée (</w:t>
            </w:r>
            <w:hyperlink r:id="rId10">
              <w:r w:rsidRPr="760F63C9">
                <w:rPr>
                  <w:rStyle w:val="Lienhypertexte"/>
                </w:rPr>
                <w:t xml:space="preserve">voir étude </w:t>
              </w:r>
              <w:proofErr w:type="spellStart"/>
              <w:r w:rsidRPr="760F63C9">
                <w:rPr>
                  <w:rStyle w:val="Lienhypertexte"/>
                </w:rPr>
                <w:t>Poshbee</w:t>
              </w:r>
              <w:proofErr w:type="spellEnd"/>
            </w:hyperlink>
            <w:r>
              <w:t>). Cela soulève des inquiétudes quant à l'impact potentiel sur les populations de pollinisateurs sauvages.</w:t>
            </w:r>
          </w:p>
          <w:p w14:paraId="10E14029" w14:textId="71EEB606" w:rsidR="00FE27C6" w:rsidRDefault="00FE27C6" w:rsidP="00C7254E">
            <w:pPr>
              <w:widowControl w:val="0"/>
              <w:spacing w:before="80"/>
              <w:jc w:val="both"/>
            </w:pPr>
            <w:r>
              <w:t>Plusieurs méthodes et études sont en cours pour améliorer la détection et le suivi de ces pathogènes</w:t>
            </w:r>
            <w:r w:rsidR="001642B2">
              <w:t>, comme</w:t>
            </w:r>
            <w:r w:rsidR="008D2F20">
              <w:t xml:space="preserve"> </w:t>
            </w:r>
            <w:hyperlink r:id="rId11" w:history="1">
              <w:r w:rsidRPr="000B7BE8">
                <w:rPr>
                  <w:rStyle w:val="Lienhypertexte"/>
                  <w:color w:val="auto"/>
                  <w:u w:val="none"/>
                </w:rPr>
                <w:t xml:space="preserve">COI </w:t>
              </w:r>
              <w:proofErr w:type="spellStart"/>
              <w:r w:rsidRPr="000B7BE8">
                <w:rPr>
                  <w:rStyle w:val="Lienhypertexte"/>
                  <w:color w:val="auto"/>
                  <w:u w:val="none"/>
                </w:rPr>
                <w:t>Barcode</w:t>
              </w:r>
              <w:proofErr w:type="spellEnd"/>
              <w:r w:rsidRPr="000B7BE8">
                <w:rPr>
                  <w:rStyle w:val="Lienhypertexte"/>
                  <w:color w:val="auto"/>
                  <w:u w:val="none"/>
                </w:rPr>
                <w:t> </w:t>
              </w:r>
            </w:hyperlink>
            <w:r w:rsidR="008D2F20" w:rsidRPr="000B7BE8">
              <w:rPr>
                <w:rStyle w:val="Lienhypertexte"/>
                <w:color w:val="auto"/>
                <w:u w:val="none"/>
              </w:rPr>
              <w:t>et</w:t>
            </w:r>
            <w:r w:rsidR="000B7BE8">
              <w:t xml:space="preserve"> MALDI</w:t>
            </w:r>
            <w:r w:rsidR="00982A6A">
              <w:t xml:space="preserve"> </w:t>
            </w:r>
            <w:r w:rsidR="00B56AB8">
              <w:t>(</w:t>
            </w:r>
            <w:proofErr w:type="spellStart"/>
            <w:r w:rsidR="00A74EA9">
              <w:t>Braglia</w:t>
            </w:r>
            <w:proofErr w:type="spellEnd"/>
            <w:r w:rsidR="00A74EA9">
              <w:t xml:space="preserve"> et al., 2024)</w:t>
            </w:r>
            <w:r w:rsidR="00982A6A">
              <w:rPr>
                <w:rStyle w:val="Lienhypertexte"/>
                <w:color w:val="auto"/>
                <w:u w:val="none"/>
              </w:rPr>
              <w:t xml:space="preserve">. </w:t>
            </w:r>
            <w:r w:rsidRPr="00FE27C6">
              <w:t>Les deux méthodes sont complémentaires et choisies en fonction des besoins spécifiques de l'analyse</w:t>
            </w:r>
            <w:r w:rsidR="000B7BE8">
              <w:t>.</w:t>
            </w:r>
            <w:r w:rsidR="00B97B10" w:rsidRPr="00B97B10">
              <w:t xml:space="preserve"> MALDI </w:t>
            </w:r>
            <w:r w:rsidR="00B97B10">
              <w:t>reste une méthode encore peu utilisé</w:t>
            </w:r>
            <w:r w:rsidR="000B7BE8">
              <w:t>e</w:t>
            </w:r>
            <w:r w:rsidR="00B97B10">
              <w:t xml:space="preserve"> sur la recherche de pathogène</w:t>
            </w:r>
            <w:r w:rsidR="007D4B4D">
              <w:t>s</w:t>
            </w:r>
            <w:r w:rsidR="00B97B10">
              <w:t xml:space="preserve"> d’abeille mais </w:t>
            </w:r>
            <w:r w:rsidR="00B97B10" w:rsidRPr="00B97B10">
              <w:t>pourrait compléter les techniques moléculaires avancées mentionnées dans les résultats de recherch</w:t>
            </w:r>
            <w:r w:rsidR="00D277C3">
              <w:t>e</w:t>
            </w:r>
            <w:r w:rsidR="00B97B10" w:rsidRPr="00B97B10">
              <w:t>.</w:t>
            </w:r>
            <w:r w:rsidRPr="00FE27C6">
              <w:t xml:space="preserve"> </w:t>
            </w:r>
          </w:p>
        </w:tc>
      </w:tr>
      <w:tr w:rsidR="0046607B" w14:paraId="31A64B77" w14:textId="77777777" w:rsidTr="2A1628DD">
        <w:trPr>
          <w:trHeight w:val="878"/>
        </w:trPr>
        <w:tc>
          <w:tcPr>
            <w:tcW w:w="1560" w:type="dxa"/>
            <w:vAlign w:val="center"/>
          </w:tcPr>
          <w:p w14:paraId="0BC8330C" w14:textId="77777777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lastRenderedPageBreak/>
              <w:t>Action(s) associée(s)</w:t>
            </w:r>
          </w:p>
        </w:tc>
        <w:tc>
          <w:tcPr>
            <w:tcW w:w="8505" w:type="dxa"/>
            <w:vAlign w:val="center"/>
          </w:tcPr>
          <w:p w14:paraId="0E43C1A8" w14:textId="77777777" w:rsidR="008D09AA" w:rsidRDefault="007E1B1C" w:rsidP="00C7254E">
            <w:r>
              <w:t>Axe 1 – action 2 ou 3</w:t>
            </w:r>
          </w:p>
          <w:p w14:paraId="1A5B0A49" w14:textId="0873FA65" w:rsidR="007E1B1C" w:rsidRDefault="007E1B1C" w:rsidP="00C7254E">
            <w:r>
              <w:t xml:space="preserve">Axe 4 </w:t>
            </w:r>
            <w:r w:rsidR="005C6357">
              <w:t>– toutes les actions</w:t>
            </w:r>
          </w:p>
        </w:tc>
      </w:tr>
      <w:tr w:rsidR="0046607B" w14:paraId="1A7A76D2" w14:textId="77777777" w:rsidTr="2A1628DD">
        <w:tc>
          <w:tcPr>
            <w:tcW w:w="1560" w:type="dxa"/>
            <w:vAlign w:val="center"/>
          </w:tcPr>
          <w:p w14:paraId="53A9EFDE" w14:textId="77777777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Indicateurs de résultats</w:t>
            </w:r>
          </w:p>
        </w:tc>
        <w:tc>
          <w:tcPr>
            <w:tcW w:w="8505" w:type="dxa"/>
            <w:vAlign w:val="center"/>
          </w:tcPr>
          <w:p w14:paraId="415CB3EE" w14:textId="702FEFAE" w:rsidR="00ED1EC9" w:rsidRDefault="005C6357" w:rsidP="00C7254E">
            <w:r>
              <w:t>Nombre d</w:t>
            </w:r>
            <w:r w:rsidR="00EE0C43">
              <w:t>’enquêtes partagées et simplifiées</w:t>
            </w:r>
            <w:r w:rsidR="00232BE7">
              <w:t>.</w:t>
            </w:r>
          </w:p>
          <w:p w14:paraId="2CE87735" w14:textId="332A1337" w:rsidR="00232BE7" w:rsidRDefault="00232BE7" w:rsidP="00C7254E">
            <w:r>
              <w:t>Nombre d’études sur les pathogènes effectuées.</w:t>
            </w:r>
          </w:p>
          <w:p w14:paraId="4B0BB062" w14:textId="1116831B" w:rsidR="009404C2" w:rsidRDefault="007D7DE0" w:rsidP="00C7254E">
            <w:r>
              <w:t xml:space="preserve">Nombre de publications sur les résultats obtenus sur </w:t>
            </w:r>
            <w:r w:rsidR="0095585F">
              <w:t>le suivi des pathogènes</w:t>
            </w:r>
            <w:r>
              <w:t>.</w:t>
            </w:r>
          </w:p>
        </w:tc>
      </w:tr>
      <w:tr w:rsidR="0046607B" w14:paraId="7A25EBB5" w14:textId="77777777" w:rsidTr="2A1628DD">
        <w:tc>
          <w:tcPr>
            <w:tcW w:w="1560" w:type="dxa"/>
            <w:vAlign w:val="center"/>
          </w:tcPr>
          <w:p w14:paraId="672D1A3F" w14:textId="77777777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Echelle(s) de travail</w:t>
            </w:r>
          </w:p>
        </w:tc>
        <w:tc>
          <w:tcPr>
            <w:tcW w:w="8505" w:type="dxa"/>
            <w:vAlign w:val="center"/>
          </w:tcPr>
          <w:p w14:paraId="4854D96C" w14:textId="092897DC" w:rsidR="009404C2" w:rsidRDefault="007D7DE0" w:rsidP="00C7254E">
            <w:r>
              <w:t>Grand Est</w:t>
            </w:r>
          </w:p>
        </w:tc>
      </w:tr>
      <w:tr w:rsidR="0046607B" w14:paraId="14536EE1" w14:textId="77777777" w:rsidTr="2A1628DD">
        <w:tc>
          <w:tcPr>
            <w:tcW w:w="1560" w:type="dxa"/>
            <w:vAlign w:val="center"/>
          </w:tcPr>
          <w:p w14:paraId="1BD0790A" w14:textId="77777777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Evaluation financière</w:t>
            </w:r>
          </w:p>
        </w:tc>
        <w:tc>
          <w:tcPr>
            <w:tcW w:w="8505" w:type="dxa"/>
            <w:vAlign w:val="center"/>
          </w:tcPr>
          <w:p w14:paraId="27C038E5" w14:textId="19F8261C" w:rsidR="00941FEB" w:rsidRDefault="002640C6" w:rsidP="00C7254E">
            <w:r w:rsidRPr="002640C6">
              <w:t>Financements spécifiques à chaque type d’action</w:t>
            </w:r>
          </w:p>
        </w:tc>
      </w:tr>
      <w:tr w:rsidR="0046607B" w14:paraId="6294C436" w14:textId="77777777" w:rsidTr="2A1628DD">
        <w:tc>
          <w:tcPr>
            <w:tcW w:w="1560" w:type="dxa"/>
            <w:vAlign w:val="center"/>
          </w:tcPr>
          <w:p w14:paraId="5FD15E5D" w14:textId="77777777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Pilote(s) de l’action</w:t>
            </w:r>
          </w:p>
        </w:tc>
        <w:tc>
          <w:tcPr>
            <w:tcW w:w="8505" w:type="dxa"/>
            <w:vAlign w:val="center"/>
          </w:tcPr>
          <w:p w14:paraId="3CAC7D74" w14:textId="77777777" w:rsidR="0046607B" w:rsidRDefault="0046607B" w:rsidP="00C7254E"/>
          <w:p w14:paraId="42BBB021" w14:textId="1816B93A" w:rsidR="009404C2" w:rsidRDefault="005B1B30" w:rsidP="00C7254E">
            <w:r>
              <w:t>GDS apicole Grand Est et ADA grand Est, GTV et DRAAF et la DDPP.</w:t>
            </w:r>
            <w:r w:rsidR="0095585F">
              <w:t xml:space="preserve"> </w:t>
            </w:r>
          </w:p>
          <w:p w14:paraId="7E1E1190" w14:textId="3EADC714" w:rsidR="005B1B30" w:rsidRDefault="005B1B30" w:rsidP="00C7254E"/>
        </w:tc>
      </w:tr>
      <w:tr w:rsidR="0046607B" w14:paraId="0F11D460" w14:textId="77777777" w:rsidTr="2A1628DD">
        <w:tc>
          <w:tcPr>
            <w:tcW w:w="1560" w:type="dxa"/>
            <w:vAlign w:val="center"/>
          </w:tcPr>
          <w:p w14:paraId="0038320C" w14:textId="77777777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Partenaires potentiels</w:t>
            </w:r>
          </w:p>
        </w:tc>
        <w:tc>
          <w:tcPr>
            <w:tcW w:w="8505" w:type="dxa"/>
            <w:vAlign w:val="center"/>
          </w:tcPr>
          <w:p w14:paraId="06E4B574" w14:textId="2D1B4CA2" w:rsidR="009404C2" w:rsidRDefault="005B1B30" w:rsidP="00C7254E">
            <w:r>
              <w:t>FRAGE</w:t>
            </w:r>
            <w:r w:rsidRPr="005B1B30">
              <w:t>,</w:t>
            </w:r>
            <w:r>
              <w:t xml:space="preserve"> syndicats apicoles</w:t>
            </w:r>
            <w:r w:rsidR="007D7DE0">
              <w:t xml:space="preserve">, </w:t>
            </w:r>
            <w:r>
              <w:t>INRAE, ITSAP</w:t>
            </w:r>
            <w:r w:rsidR="0095585F">
              <w:t>, ANSES</w:t>
            </w:r>
            <w:r w:rsidR="007D7DE0">
              <w:t>, RBA</w:t>
            </w:r>
          </w:p>
        </w:tc>
      </w:tr>
      <w:bookmarkEnd w:id="0"/>
    </w:tbl>
    <w:p w14:paraId="3D58B185" w14:textId="77777777" w:rsidR="00F805B9" w:rsidRDefault="00F805B9" w:rsidP="009404C2"/>
    <w:p w14:paraId="7012C3C9" w14:textId="53173567" w:rsidR="00F437E5" w:rsidRDefault="00C7254E" w:rsidP="00982A6A">
      <w:pPr>
        <w:jc w:val="both"/>
      </w:pPr>
      <w:r>
        <w:br w:type="column"/>
      </w:r>
      <w:r w:rsidR="00F437E5">
        <w:lastRenderedPageBreak/>
        <w:t>Annexe :</w:t>
      </w:r>
    </w:p>
    <w:p w14:paraId="1785D7FC" w14:textId="1B1F4438" w:rsidR="00F437E5" w:rsidRDefault="00F437E5" w:rsidP="00982A6A">
      <w:pPr>
        <w:jc w:val="both"/>
      </w:pPr>
      <w:r w:rsidRPr="0083613E">
        <w:t>L’Enquête Nationale de Mortalité Hivernale des colonies d’Abeilles (ENMHA</w:t>
      </w:r>
      <w:r>
        <w:t>)</w:t>
      </w:r>
    </w:p>
    <w:p w14:paraId="2593C0ED" w14:textId="77777777" w:rsidR="00F437E5" w:rsidRDefault="00F437E5" w:rsidP="00982A6A">
      <w:pPr>
        <w:widowControl w:val="0"/>
        <w:spacing w:before="80"/>
        <w:jc w:val="both"/>
      </w:pPr>
      <w:r>
        <w:t>En région Grand Est, le taux de participation a atteint 28% des apiculteurs de la région (2.169 participants), couvrant le devenir de 19% des ruches déclarées de la région (31.841 ruches). Grâce aux répondants, il est possible de :</w:t>
      </w:r>
    </w:p>
    <w:p w14:paraId="305D15FF" w14:textId="77777777" w:rsidR="00F437E5" w:rsidRDefault="00F437E5" w:rsidP="00982A6A">
      <w:pPr>
        <w:pStyle w:val="Paragraphedeliste"/>
        <w:widowControl w:val="0"/>
        <w:numPr>
          <w:ilvl w:val="0"/>
          <w:numId w:val="11"/>
        </w:numPr>
        <w:spacing w:before="80"/>
        <w:jc w:val="both"/>
      </w:pPr>
      <w:r>
        <w:t>Mesurer les pertes de ruches de façon objective et représentative de la situation régionale ;</w:t>
      </w:r>
    </w:p>
    <w:p w14:paraId="7E219F90" w14:textId="77777777" w:rsidR="00F437E5" w:rsidRDefault="00F437E5" w:rsidP="00982A6A">
      <w:pPr>
        <w:pStyle w:val="Paragraphedeliste"/>
        <w:widowControl w:val="0"/>
        <w:numPr>
          <w:ilvl w:val="0"/>
          <w:numId w:val="11"/>
        </w:numPr>
        <w:spacing w:before="80"/>
        <w:jc w:val="both"/>
      </w:pPr>
      <w:r>
        <w:t>Situer notre région par rapport aux autres (voir le bilan national proposé sur la plateforme de l’ESA) ;</w:t>
      </w:r>
    </w:p>
    <w:p w14:paraId="6AF365E6" w14:textId="77777777" w:rsidR="00F437E5" w:rsidRDefault="00F437E5" w:rsidP="00982A6A">
      <w:pPr>
        <w:pStyle w:val="Paragraphedeliste"/>
        <w:widowControl w:val="0"/>
        <w:numPr>
          <w:ilvl w:val="0"/>
          <w:numId w:val="11"/>
        </w:numPr>
        <w:spacing w:before="80"/>
        <w:jc w:val="both"/>
      </w:pPr>
      <w:r>
        <w:t>Identifier les facteurs reliés aux fortes pertes afin de proposer des pistes d’actions pour les minimiser (</w:t>
      </w:r>
      <w:hyperlink r:id="rId12" w:history="1">
        <w:r w:rsidRPr="001204EC">
          <w:rPr>
            <w:rStyle w:val="Lienhypertexte"/>
          </w:rPr>
          <w:t>voir les analyses proposées par l’ADA Grand Est ici</w:t>
        </w:r>
      </w:hyperlink>
      <w:r>
        <w:t>).</w:t>
      </w:r>
    </w:p>
    <w:p w14:paraId="42B035D8" w14:textId="4517E254" w:rsidR="004B165C" w:rsidRDefault="004B165C" w:rsidP="00982A6A">
      <w:pPr>
        <w:widowControl w:val="0"/>
        <w:spacing w:before="80"/>
        <w:jc w:val="both"/>
      </w:pPr>
      <w:hyperlink r:id="rId13" w:history="1">
        <w:r w:rsidRPr="004B165C">
          <w:rPr>
            <w:rStyle w:val="Lienhypertexte"/>
            <w:color w:val="auto"/>
            <w:u w:val="none"/>
          </w:rPr>
          <w:t>Déclaration annuelle des ruches</w:t>
        </w:r>
      </w:hyperlink>
      <w:r>
        <w:rPr>
          <w:rStyle w:val="Lienhypertexte"/>
          <w:color w:val="auto"/>
          <w:u w:val="none"/>
        </w:rPr>
        <w:t> :</w:t>
      </w:r>
    </w:p>
    <w:p w14:paraId="070D2CE5" w14:textId="67B916E5" w:rsidR="004B165C" w:rsidRPr="004B165C" w:rsidRDefault="004B165C" w:rsidP="00982A6A">
      <w:pPr>
        <w:widowControl w:val="0"/>
        <w:spacing w:before="80" w:after="0" w:line="240" w:lineRule="auto"/>
        <w:jc w:val="both"/>
        <w:rPr>
          <w:b/>
          <w:bCs/>
        </w:rPr>
      </w:pPr>
      <w:r w:rsidRPr="00635D4B">
        <w:t>Voici les points essentiels à retenir</w:t>
      </w:r>
      <w:r>
        <w:t xml:space="preserve"> pour les aspects sanitaires</w:t>
      </w:r>
      <w:r w:rsidRPr="00635D4B">
        <w:t xml:space="preserve"> :</w:t>
      </w:r>
    </w:p>
    <w:p w14:paraId="1F7FF369" w14:textId="77777777" w:rsidR="004B165C" w:rsidRDefault="004B165C" w:rsidP="00982A6A">
      <w:pPr>
        <w:widowControl w:val="0"/>
        <w:numPr>
          <w:ilvl w:val="0"/>
          <w:numId w:val="12"/>
        </w:numPr>
        <w:spacing w:before="80"/>
        <w:jc w:val="both"/>
      </w:pPr>
      <w:r w:rsidRPr="00635D4B">
        <w:t>Période de déclaration : Elle doit être effectuée chaque année entre le 1er septembre et le 31 décembre</w:t>
      </w:r>
    </w:p>
    <w:p w14:paraId="0AA9BFAE" w14:textId="77777777" w:rsidR="004B165C" w:rsidRDefault="004B165C" w:rsidP="00982A6A">
      <w:pPr>
        <w:widowControl w:val="0"/>
        <w:numPr>
          <w:ilvl w:val="0"/>
          <w:numId w:val="12"/>
        </w:numPr>
        <w:spacing w:before="80"/>
        <w:jc w:val="both"/>
      </w:pPr>
      <w:r w:rsidRPr="00635D4B">
        <w:t> La localisation des colonies est cruciale pour l'efficacité des actions sanitaires en cas de crise, notamment face à la menace d'</w:t>
      </w:r>
      <w:proofErr w:type="spellStart"/>
      <w:r w:rsidRPr="00635D4B">
        <w:t>Aethina</w:t>
      </w:r>
      <w:proofErr w:type="spellEnd"/>
      <w:r w:rsidRPr="00635D4B">
        <w:t xml:space="preserve"> </w:t>
      </w:r>
      <w:proofErr w:type="spellStart"/>
      <w:r w:rsidRPr="00635D4B">
        <w:t>tumida</w:t>
      </w:r>
      <w:proofErr w:type="spellEnd"/>
    </w:p>
    <w:p w14:paraId="2D2B37D0" w14:textId="77777777" w:rsidR="004B165C" w:rsidRDefault="004B165C" w:rsidP="00982A6A">
      <w:pPr>
        <w:widowControl w:val="0"/>
        <w:numPr>
          <w:ilvl w:val="0"/>
          <w:numId w:val="12"/>
        </w:numPr>
        <w:spacing w:before="80"/>
        <w:jc w:val="both"/>
      </w:pPr>
      <w:r w:rsidRPr="00635D4B">
        <w:t>Cette déclaration est essentielle pour la filière apicole française, permettant une meilleure gestion et un suivi efficace du cheptel d'abeilles.</w:t>
      </w:r>
    </w:p>
    <w:p w14:paraId="3954A5A6" w14:textId="66F864B7" w:rsidR="00BE4186" w:rsidRPr="00E17B11" w:rsidRDefault="008D2F20" w:rsidP="00982A6A">
      <w:pPr>
        <w:widowControl w:val="0"/>
        <w:spacing w:before="80"/>
        <w:jc w:val="both"/>
      </w:pPr>
      <w:r w:rsidRPr="00E17B11">
        <w:t>Protocoles :</w:t>
      </w:r>
    </w:p>
    <w:p w14:paraId="60C06771" w14:textId="7F6DFB75" w:rsidR="00BE4186" w:rsidRPr="00E17B11" w:rsidRDefault="00BE4186" w:rsidP="00982A6A">
      <w:pPr>
        <w:widowControl w:val="0"/>
        <w:spacing w:before="80"/>
        <w:jc w:val="both"/>
      </w:pPr>
      <w:r w:rsidRPr="00E17B11">
        <w:t xml:space="preserve">COI </w:t>
      </w:r>
      <w:proofErr w:type="spellStart"/>
      <w:r w:rsidRPr="00E17B11">
        <w:t>Barcode</w:t>
      </w:r>
      <w:proofErr w:type="spellEnd"/>
      <w:r w:rsidRPr="00E17B11">
        <w:t xml:space="preserve"> : Utilise une séquence d'ADN spécifique (COI) pour identifier les espèces. C'est une méthode génétique nécessitant des séquenceurs d'ADN et des bases de données de référence pour l'identification.</w:t>
      </w:r>
    </w:p>
    <w:p w14:paraId="219F6BE3" w14:textId="4C437314" w:rsidR="00BE4186" w:rsidRPr="00635D4B" w:rsidRDefault="00BE4186" w:rsidP="00982A6A">
      <w:pPr>
        <w:widowControl w:val="0"/>
        <w:spacing w:before="80"/>
        <w:jc w:val="both"/>
      </w:pPr>
      <w:r w:rsidRPr="00E17B11">
        <w:t>MALDI : Utilise la spectrométrie de masse pour analyser les biomolécules. C'est une méthode rapide et économique pour identifier les protéines et les microorganismes, souvent utilisée en microbiologie clinique.</w:t>
      </w:r>
    </w:p>
    <w:p w14:paraId="6C92A59E" w14:textId="77777777" w:rsidR="004B165C" w:rsidRDefault="004B165C" w:rsidP="004B165C">
      <w:pPr>
        <w:widowControl w:val="0"/>
        <w:spacing w:before="80"/>
        <w:jc w:val="both"/>
      </w:pPr>
    </w:p>
    <w:p w14:paraId="2E6CF8DB" w14:textId="77777777" w:rsidR="00F437E5" w:rsidRDefault="00F437E5" w:rsidP="009404C2"/>
    <w:p w14:paraId="7243B151" w14:textId="77777777" w:rsidR="006C7255" w:rsidRDefault="006C7255" w:rsidP="009404C2"/>
    <w:p w14:paraId="380547E8" w14:textId="77777777" w:rsidR="006C7255" w:rsidRDefault="006C7255" w:rsidP="009404C2"/>
    <w:p w14:paraId="164E46BE" w14:textId="77777777" w:rsidR="00F95E51" w:rsidRDefault="00F95E51" w:rsidP="009404C2"/>
    <w:p w14:paraId="1DD6C5A1" w14:textId="77777777" w:rsidR="00F95E51" w:rsidRDefault="00F95E51" w:rsidP="009404C2"/>
    <w:p w14:paraId="6A3AA3C4" w14:textId="77777777" w:rsidR="00F95E51" w:rsidRDefault="00F95E51" w:rsidP="009404C2"/>
    <w:p w14:paraId="116C576F" w14:textId="77777777" w:rsidR="00F95E51" w:rsidRDefault="00F95E51" w:rsidP="009404C2"/>
    <w:p w14:paraId="6246DF72" w14:textId="77777777" w:rsidR="00F95E51" w:rsidRDefault="00F95E51" w:rsidP="009404C2"/>
    <w:sectPr w:rsidR="00F95E51" w:rsidSect="00347F11">
      <w:pgSz w:w="11906" w:h="16838"/>
      <w:pgMar w:top="1417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B6E676" w14:textId="77777777" w:rsidR="00FD508E" w:rsidRDefault="00FD508E" w:rsidP="00347F11">
      <w:pPr>
        <w:spacing w:after="0" w:line="240" w:lineRule="auto"/>
      </w:pPr>
      <w:r>
        <w:separator/>
      </w:r>
    </w:p>
  </w:endnote>
  <w:endnote w:type="continuationSeparator" w:id="0">
    <w:p w14:paraId="4C89FBE6" w14:textId="77777777" w:rsidR="00FD508E" w:rsidRDefault="00FD508E" w:rsidP="00347F11">
      <w:pPr>
        <w:spacing w:after="0" w:line="240" w:lineRule="auto"/>
      </w:pPr>
      <w:r>
        <w:continuationSeparator/>
      </w:r>
    </w:p>
  </w:endnote>
  <w:endnote w:type="continuationNotice" w:id="1">
    <w:p w14:paraId="3BA163C1" w14:textId="77777777" w:rsidR="00FD508E" w:rsidRDefault="00FD50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D4395" w14:textId="77777777" w:rsidR="00FD508E" w:rsidRDefault="00FD508E" w:rsidP="00347F11">
      <w:pPr>
        <w:spacing w:after="0" w:line="240" w:lineRule="auto"/>
      </w:pPr>
      <w:r>
        <w:separator/>
      </w:r>
    </w:p>
  </w:footnote>
  <w:footnote w:type="continuationSeparator" w:id="0">
    <w:p w14:paraId="13D6EC9C" w14:textId="77777777" w:rsidR="00FD508E" w:rsidRDefault="00FD508E" w:rsidP="00347F11">
      <w:pPr>
        <w:spacing w:after="0" w:line="240" w:lineRule="auto"/>
      </w:pPr>
      <w:r>
        <w:continuationSeparator/>
      </w:r>
    </w:p>
  </w:footnote>
  <w:footnote w:type="continuationNotice" w:id="1">
    <w:p w14:paraId="25CDB73B" w14:textId="77777777" w:rsidR="00FD508E" w:rsidRDefault="00FD508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198969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CA1C31"/>
    <w:multiLevelType w:val="hybridMultilevel"/>
    <w:tmpl w:val="536E14C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647424"/>
    <w:multiLevelType w:val="hybridMultilevel"/>
    <w:tmpl w:val="B7DAB62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9A6BF7"/>
    <w:multiLevelType w:val="hybridMultilevel"/>
    <w:tmpl w:val="97DC60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C0382"/>
    <w:multiLevelType w:val="multilevel"/>
    <w:tmpl w:val="829AC5C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286D2AF3"/>
    <w:multiLevelType w:val="hybridMultilevel"/>
    <w:tmpl w:val="D004DC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BE3570"/>
    <w:multiLevelType w:val="multilevel"/>
    <w:tmpl w:val="B540FB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 w15:restartNumberingAfterBreak="0">
    <w:nsid w:val="2D886962"/>
    <w:multiLevelType w:val="hybridMultilevel"/>
    <w:tmpl w:val="F800A22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147D5"/>
    <w:multiLevelType w:val="multilevel"/>
    <w:tmpl w:val="FCBC78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40937EC1"/>
    <w:multiLevelType w:val="multilevel"/>
    <w:tmpl w:val="2CFE7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5DE1DA1"/>
    <w:multiLevelType w:val="multilevel"/>
    <w:tmpl w:val="A4361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F36C40"/>
    <w:multiLevelType w:val="multilevel"/>
    <w:tmpl w:val="5F5A53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1753FC6"/>
    <w:multiLevelType w:val="hybridMultilevel"/>
    <w:tmpl w:val="C4241C80"/>
    <w:lvl w:ilvl="0" w:tplc="F9D61726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3455AF"/>
    <w:multiLevelType w:val="hybridMultilevel"/>
    <w:tmpl w:val="7E446872"/>
    <w:lvl w:ilvl="0" w:tplc="B2FC16D0">
      <w:start w:val="1000"/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C3579EC"/>
    <w:multiLevelType w:val="multilevel"/>
    <w:tmpl w:val="665C574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762A77B3"/>
    <w:multiLevelType w:val="hybridMultilevel"/>
    <w:tmpl w:val="D5F4B4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2016226">
    <w:abstractNumId w:val="7"/>
  </w:num>
  <w:num w:numId="2" w16cid:durableId="1242987042">
    <w:abstractNumId w:val="11"/>
  </w:num>
  <w:num w:numId="3" w16cid:durableId="390006469">
    <w:abstractNumId w:val="3"/>
  </w:num>
  <w:num w:numId="4" w16cid:durableId="2032754024">
    <w:abstractNumId w:val="4"/>
  </w:num>
  <w:num w:numId="5" w16cid:durableId="1886601008">
    <w:abstractNumId w:val="8"/>
  </w:num>
  <w:num w:numId="6" w16cid:durableId="96214389">
    <w:abstractNumId w:val="14"/>
  </w:num>
  <w:num w:numId="7" w16cid:durableId="2038121608">
    <w:abstractNumId w:val="6"/>
  </w:num>
  <w:num w:numId="8" w16cid:durableId="543717288">
    <w:abstractNumId w:val="12"/>
  </w:num>
  <w:num w:numId="9" w16cid:durableId="1549492050">
    <w:abstractNumId w:val="13"/>
  </w:num>
  <w:num w:numId="10" w16cid:durableId="846821829">
    <w:abstractNumId w:val="0"/>
  </w:num>
  <w:num w:numId="11" w16cid:durableId="1474442766">
    <w:abstractNumId w:val="15"/>
  </w:num>
  <w:num w:numId="12" w16cid:durableId="1478062144">
    <w:abstractNumId w:val="10"/>
  </w:num>
  <w:num w:numId="13" w16cid:durableId="412044471">
    <w:abstractNumId w:val="9"/>
  </w:num>
  <w:num w:numId="14" w16cid:durableId="1635214028">
    <w:abstractNumId w:val="1"/>
  </w:num>
  <w:num w:numId="15" w16cid:durableId="203908018">
    <w:abstractNumId w:val="5"/>
  </w:num>
  <w:num w:numId="16" w16cid:durableId="1664696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979"/>
    <w:rsid w:val="00034C4D"/>
    <w:rsid w:val="000428A5"/>
    <w:rsid w:val="00065184"/>
    <w:rsid w:val="00065590"/>
    <w:rsid w:val="00067AE4"/>
    <w:rsid w:val="000B7BE8"/>
    <w:rsid w:val="000C764F"/>
    <w:rsid w:val="000D24A7"/>
    <w:rsid w:val="000E57B7"/>
    <w:rsid w:val="00111B19"/>
    <w:rsid w:val="001204EC"/>
    <w:rsid w:val="00137C37"/>
    <w:rsid w:val="00163969"/>
    <w:rsid w:val="001642B2"/>
    <w:rsid w:val="00183201"/>
    <w:rsid w:val="00186921"/>
    <w:rsid w:val="001A2F5B"/>
    <w:rsid w:val="001E2847"/>
    <w:rsid w:val="00200237"/>
    <w:rsid w:val="002012E8"/>
    <w:rsid w:val="00222308"/>
    <w:rsid w:val="00232BE7"/>
    <w:rsid w:val="00234DF6"/>
    <w:rsid w:val="002640C6"/>
    <w:rsid w:val="002742D5"/>
    <w:rsid w:val="00280EE6"/>
    <w:rsid w:val="00281036"/>
    <w:rsid w:val="002C31CA"/>
    <w:rsid w:val="002D6ADB"/>
    <w:rsid w:val="002E0BA5"/>
    <w:rsid w:val="00347F11"/>
    <w:rsid w:val="00360BF1"/>
    <w:rsid w:val="00381686"/>
    <w:rsid w:val="00384EDD"/>
    <w:rsid w:val="00385EE0"/>
    <w:rsid w:val="00387033"/>
    <w:rsid w:val="003A0775"/>
    <w:rsid w:val="003A2BFA"/>
    <w:rsid w:val="003E6BD9"/>
    <w:rsid w:val="00414D15"/>
    <w:rsid w:val="00430FE5"/>
    <w:rsid w:val="0045139D"/>
    <w:rsid w:val="00462834"/>
    <w:rsid w:val="0046607B"/>
    <w:rsid w:val="0047711B"/>
    <w:rsid w:val="00482945"/>
    <w:rsid w:val="004B165C"/>
    <w:rsid w:val="004B4464"/>
    <w:rsid w:val="005225DE"/>
    <w:rsid w:val="00531596"/>
    <w:rsid w:val="00561846"/>
    <w:rsid w:val="00564663"/>
    <w:rsid w:val="005B1B30"/>
    <w:rsid w:val="005B70B4"/>
    <w:rsid w:val="005C6357"/>
    <w:rsid w:val="00611CA4"/>
    <w:rsid w:val="00626852"/>
    <w:rsid w:val="00635D4B"/>
    <w:rsid w:val="00642323"/>
    <w:rsid w:val="00644EC7"/>
    <w:rsid w:val="006460ED"/>
    <w:rsid w:val="00657310"/>
    <w:rsid w:val="00657D0A"/>
    <w:rsid w:val="00671438"/>
    <w:rsid w:val="00673DE6"/>
    <w:rsid w:val="006C7255"/>
    <w:rsid w:val="006F2CE2"/>
    <w:rsid w:val="006F6508"/>
    <w:rsid w:val="00774E8F"/>
    <w:rsid w:val="007A4289"/>
    <w:rsid w:val="007C64C4"/>
    <w:rsid w:val="007D4B4D"/>
    <w:rsid w:val="007D71BB"/>
    <w:rsid w:val="007D7DE0"/>
    <w:rsid w:val="007E1B1C"/>
    <w:rsid w:val="00811561"/>
    <w:rsid w:val="0083613E"/>
    <w:rsid w:val="00883867"/>
    <w:rsid w:val="00885750"/>
    <w:rsid w:val="008D09AA"/>
    <w:rsid w:val="008D2F20"/>
    <w:rsid w:val="0092111C"/>
    <w:rsid w:val="00921644"/>
    <w:rsid w:val="00927178"/>
    <w:rsid w:val="00935D99"/>
    <w:rsid w:val="009404C2"/>
    <w:rsid w:val="00941FEB"/>
    <w:rsid w:val="0095585F"/>
    <w:rsid w:val="00967B72"/>
    <w:rsid w:val="0097047C"/>
    <w:rsid w:val="00982571"/>
    <w:rsid w:val="00982A6A"/>
    <w:rsid w:val="00982A99"/>
    <w:rsid w:val="009B305B"/>
    <w:rsid w:val="009C7E9D"/>
    <w:rsid w:val="009F0979"/>
    <w:rsid w:val="00A12924"/>
    <w:rsid w:val="00A166BF"/>
    <w:rsid w:val="00A4111C"/>
    <w:rsid w:val="00A74EA9"/>
    <w:rsid w:val="00A912EB"/>
    <w:rsid w:val="00AA41DA"/>
    <w:rsid w:val="00AB5DAC"/>
    <w:rsid w:val="00AC05A9"/>
    <w:rsid w:val="00AE3445"/>
    <w:rsid w:val="00B019D6"/>
    <w:rsid w:val="00B076BA"/>
    <w:rsid w:val="00B113C4"/>
    <w:rsid w:val="00B21EB2"/>
    <w:rsid w:val="00B22201"/>
    <w:rsid w:val="00B41149"/>
    <w:rsid w:val="00B56AB8"/>
    <w:rsid w:val="00B66B22"/>
    <w:rsid w:val="00B97B10"/>
    <w:rsid w:val="00BD0162"/>
    <w:rsid w:val="00BE4186"/>
    <w:rsid w:val="00C2693E"/>
    <w:rsid w:val="00C301AD"/>
    <w:rsid w:val="00C45534"/>
    <w:rsid w:val="00C7254E"/>
    <w:rsid w:val="00C92016"/>
    <w:rsid w:val="00C93E5E"/>
    <w:rsid w:val="00CA3BBE"/>
    <w:rsid w:val="00CD0813"/>
    <w:rsid w:val="00D10ABD"/>
    <w:rsid w:val="00D17B02"/>
    <w:rsid w:val="00D2491E"/>
    <w:rsid w:val="00D277C3"/>
    <w:rsid w:val="00D4667D"/>
    <w:rsid w:val="00D50EBA"/>
    <w:rsid w:val="00D53360"/>
    <w:rsid w:val="00D74F6A"/>
    <w:rsid w:val="00DF0AF9"/>
    <w:rsid w:val="00E04A67"/>
    <w:rsid w:val="00E17B11"/>
    <w:rsid w:val="00E300A2"/>
    <w:rsid w:val="00E42090"/>
    <w:rsid w:val="00E638F1"/>
    <w:rsid w:val="00E850D3"/>
    <w:rsid w:val="00ED1EC9"/>
    <w:rsid w:val="00ED3F91"/>
    <w:rsid w:val="00EE0C43"/>
    <w:rsid w:val="00EE6ED9"/>
    <w:rsid w:val="00EF5273"/>
    <w:rsid w:val="00F015A3"/>
    <w:rsid w:val="00F01F3C"/>
    <w:rsid w:val="00F13E52"/>
    <w:rsid w:val="00F40E5C"/>
    <w:rsid w:val="00F437E5"/>
    <w:rsid w:val="00F451F0"/>
    <w:rsid w:val="00F805B9"/>
    <w:rsid w:val="00F861EE"/>
    <w:rsid w:val="00F9270A"/>
    <w:rsid w:val="00F94F19"/>
    <w:rsid w:val="00F95E51"/>
    <w:rsid w:val="00FA144F"/>
    <w:rsid w:val="00FD08DE"/>
    <w:rsid w:val="00FD4494"/>
    <w:rsid w:val="00FD508E"/>
    <w:rsid w:val="00FE27C6"/>
    <w:rsid w:val="2A1628DD"/>
    <w:rsid w:val="598BD971"/>
    <w:rsid w:val="760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C6DC5"/>
  <w15:chartTrackingRefBased/>
  <w15:docId w15:val="{3CD52BAC-70AB-4485-BD24-D43C6D0CB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07B"/>
  </w:style>
  <w:style w:type="paragraph" w:styleId="Titre1">
    <w:name w:val="heading 1"/>
    <w:basedOn w:val="Normal"/>
    <w:next w:val="Normal"/>
    <w:link w:val="Titre1Car"/>
    <w:uiPriority w:val="9"/>
    <w:qFormat/>
    <w:rsid w:val="009F09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F09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F09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F09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F09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F09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F09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F09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F09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F09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F09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F09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F097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F097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F097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F097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F097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F097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F09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F09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F09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F09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F09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F097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F097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F097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F09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F097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F0979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466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rsid w:val="00D4667D"/>
    <w:pPr>
      <w:spacing w:after="0" w:line="240" w:lineRule="auto"/>
    </w:pPr>
    <w:rPr>
      <w:rFonts w:ascii="Arial" w:eastAsia="Arial" w:hAnsi="Arial" w:cs="Arial"/>
      <w:kern w:val="0"/>
      <w:sz w:val="20"/>
      <w:szCs w:val="20"/>
      <w:lang w:val="fr" w:eastAsia="fr-FR"/>
      <w14:ligatures w14:val="none"/>
    </w:rPr>
  </w:style>
  <w:style w:type="character" w:customStyle="1" w:styleId="CommentaireCar">
    <w:name w:val="Commentaire Car"/>
    <w:basedOn w:val="Policepardfaut"/>
    <w:link w:val="Commentaire"/>
    <w:uiPriority w:val="99"/>
    <w:rsid w:val="00D4667D"/>
    <w:rPr>
      <w:rFonts w:ascii="Arial" w:eastAsia="Arial" w:hAnsi="Arial" w:cs="Arial"/>
      <w:kern w:val="0"/>
      <w:sz w:val="20"/>
      <w:szCs w:val="20"/>
      <w:lang w:val="fr" w:eastAsia="fr-FR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D4667D"/>
    <w:rPr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B4464"/>
    <w:rPr>
      <w:color w:val="467886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4B4464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B41149"/>
    <w:rPr>
      <w:color w:val="96607D" w:themeColor="followedHyperlink"/>
      <w:u w:val="single"/>
    </w:rPr>
  </w:style>
  <w:style w:type="character" w:customStyle="1" w:styleId="cf01">
    <w:name w:val="cf01"/>
    <w:basedOn w:val="Policepardfaut"/>
    <w:rsid w:val="00347F11"/>
    <w:rPr>
      <w:rFonts w:ascii="Segoe UI" w:hAnsi="Segoe UI" w:cs="Segoe UI" w:hint="default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47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7F11"/>
  </w:style>
  <w:style w:type="paragraph" w:styleId="Pieddepage">
    <w:name w:val="footer"/>
    <w:basedOn w:val="Normal"/>
    <w:link w:val="PieddepageCar"/>
    <w:uiPriority w:val="99"/>
    <w:unhideWhenUsed/>
    <w:rsid w:val="00347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7F11"/>
  </w:style>
  <w:style w:type="paragraph" w:customStyle="1" w:styleId="Default">
    <w:name w:val="Default"/>
    <w:rsid w:val="006F2CE2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kern w:val="0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2834"/>
    <w:pPr>
      <w:spacing w:after="160"/>
    </w:pPr>
    <w:rPr>
      <w:rFonts w:asciiTheme="minorHAnsi" w:eastAsiaTheme="minorHAnsi" w:hAnsiTheme="minorHAnsi" w:cstheme="minorBidi"/>
      <w:b/>
      <w:bCs/>
      <w:kern w:val="2"/>
      <w:lang w:val="fr-FR" w:eastAsia="en-US"/>
      <w14:ligatures w14:val="standardContextual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2834"/>
    <w:rPr>
      <w:rFonts w:ascii="Arial" w:eastAsia="Arial" w:hAnsi="Arial" w:cs="Arial"/>
      <w:b/>
      <w:bCs/>
      <w:kern w:val="0"/>
      <w:sz w:val="20"/>
      <w:szCs w:val="20"/>
      <w:lang w:val="fr" w:eastAsia="fr-FR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B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B4D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9C7E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riculture.gouv.fr/la-declaration-de-ruches-du-1er-septembre-au-31-decembre" TargetMode="External"/><Relationship Id="rId13" Type="http://schemas.openxmlformats.org/officeDocument/2006/relationships/hyperlink" Target="https://agriculture.gouv.fr/la-declaration-de-ruches-du-1er-septembre-au-31-decembr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ranceagrimer.fr/content/download/71711/document/SYN-API-Observatoire_Miel_et_GeleeRoyale_2022.pdf" TargetMode="External"/><Relationship Id="rId12" Type="http://schemas.openxmlformats.org/officeDocument/2006/relationships/hyperlink" Target="https://www.ada-grand-est.org/actus/bilan-des-pertes-hivernales-en-grand-est-%e2%b8%b1-hiver-2022-202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nses.fr/fr/content/sant%C3%A9-des-abeilles-le-point-sur-les-derni%C3%A8res-recherche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anses.fr/fr/content/transmission-pathogenes-entre-pollinisateu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piservices.biz/documents/articles-fr/interactions_virus_pesticides_declin_abeilles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1210</Words>
  <Characters>6660</Characters>
  <Application>Microsoft Office Word</Application>
  <DocSecurity>0</DocSecurity>
  <Lines>55</Lines>
  <Paragraphs>15</Paragraphs>
  <ScaleCrop>false</ScaleCrop>
  <Company/>
  <LinksUpToDate>false</LinksUpToDate>
  <CharactersWithSpaces>7855</CharactersWithSpaces>
  <SharedDoc>false</SharedDoc>
  <HLinks>
    <vt:vector size="42" baseType="variant">
      <vt:variant>
        <vt:i4>1703936</vt:i4>
      </vt:variant>
      <vt:variant>
        <vt:i4>18</vt:i4>
      </vt:variant>
      <vt:variant>
        <vt:i4>0</vt:i4>
      </vt:variant>
      <vt:variant>
        <vt:i4>5</vt:i4>
      </vt:variant>
      <vt:variant>
        <vt:lpwstr>https://agriculture.gouv.fr/la-declaration-de-ruches-du-1er-septembre-au-31-decembre</vt:lpwstr>
      </vt:variant>
      <vt:variant>
        <vt:lpwstr/>
      </vt:variant>
      <vt:variant>
        <vt:i4>8192046</vt:i4>
      </vt:variant>
      <vt:variant>
        <vt:i4>15</vt:i4>
      </vt:variant>
      <vt:variant>
        <vt:i4>0</vt:i4>
      </vt:variant>
      <vt:variant>
        <vt:i4>5</vt:i4>
      </vt:variant>
      <vt:variant>
        <vt:lpwstr>https://www.ada-grand-est.org/actus/bilan-des-pertes-hivernales-en-grand-est-%e2%b8%b1-hiver-2022-2023/</vt:lpwstr>
      </vt:variant>
      <vt:variant>
        <vt:lpwstr/>
      </vt:variant>
      <vt:variant>
        <vt:i4>6946927</vt:i4>
      </vt:variant>
      <vt:variant>
        <vt:i4>12</vt:i4>
      </vt:variant>
      <vt:variant>
        <vt:i4>0</vt:i4>
      </vt:variant>
      <vt:variant>
        <vt:i4>5</vt:i4>
      </vt:variant>
      <vt:variant>
        <vt:lpwstr>https://www.anses.fr/fr/content/sant%C3%A9-des-abeilles-le-point-sur-les-derni%C3%A8res-recherches</vt:lpwstr>
      </vt:variant>
      <vt:variant>
        <vt:lpwstr/>
      </vt:variant>
      <vt:variant>
        <vt:i4>1179733</vt:i4>
      </vt:variant>
      <vt:variant>
        <vt:i4>9</vt:i4>
      </vt:variant>
      <vt:variant>
        <vt:i4>0</vt:i4>
      </vt:variant>
      <vt:variant>
        <vt:i4>5</vt:i4>
      </vt:variant>
      <vt:variant>
        <vt:lpwstr>https://www.anses.fr/fr/content/transmission-pathogenes-entre-pollinisateurs</vt:lpwstr>
      </vt:variant>
      <vt:variant>
        <vt:lpwstr/>
      </vt:variant>
      <vt:variant>
        <vt:i4>5767247</vt:i4>
      </vt:variant>
      <vt:variant>
        <vt:i4>6</vt:i4>
      </vt:variant>
      <vt:variant>
        <vt:i4>0</vt:i4>
      </vt:variant>
      <vt:variant>
        <vt:i4>5</vt:i4>
      </vt:variant>
      <vt:variant>
        <vt:lpwstr>https://www.apiservices.biz/documents/articles-fr/interactions_virus_pesticides_declin_abeilles.pdf</vt:lpwstr>
      </vt:variant>
      <vt:variant>
        <vt:lpwstr/>
      </vt:variant>
      <vt:variant>
        <vt:i4>1703936</vt:i4>
      </vt:variant>
      <vt:variant>
        <vt:i4>3</vt:i4>
      </vt:variant>
      <vt:variant>
        <vt:i4>0</vt:i4>
      </vt:variant>
      <vt:variant>
        <vt:i4>5</vt:i4>
      </vt:variant>
      <vt:variant>
        <vt:lpwstr>https://agriculture.gouv.fr/la-declaration-de-ruches-du-1er-septembre-au-31-decembre</vt:lpwstr>
      </vt:variant>
      <vt:variant>
        <vt:lpwstr/>
      </vt:variant>
      <vt:variant>
        <vt:i4>4456519</vt:i4>
      </vt:variant>
      <vt:variant>
        <vt:i4>0</vt:i4>
      </vt:variant>
      <vt:variant>
        <vt:i4>0</vt:i4>
      </vt:variant>
      <vt:variant>
        <vt:i4>5</vt:i4>
      </vt:variant>
      <vt:variant>
        <vt:lpwstr>https://www.franceagrimer.fr/content/download/71711/document/SYN-API-Observatoire_Miel_et_GeleeRoyale_2022.pdf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Tonnelier ADAGE</dc:creator>
  <cp:keywords/>
  <dc:description/>
  <cp:lastModifiedBy>Mélanie CROMBECQUE</cp:lastModifiedBy>
  <cp:revision>81</cp:revision>
  <dcterms:created xsi:type="dcterms:W3CDTF">2024-07-25T13:55:00Z</dcterms:created>
  <dcterms:modified xsi:type="dcterms:W3CDTF">2024-10-03T13:58:00Z</dcterms:modified>
</cp:coreProperties>
</file>